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02B7C" w14:textId="77777777" w:rsidR="0049483A" w:rsidRPr="00A43372" w:rsidRDefault="00A43372" w:rsidP="00A43372">
      <w:pPr>
        <w:pStyle w:val="Heading1"/>
        <w:rPr>
          <w:b/>
        </w:rPr>
      </w:pPr>
      <w:r w:rsidRPr="00A43372">
        <w:rPr>
          <w:b/>
        </w:rPr>
        <w:t xml:space="preserve">OPERS Report – </w:t>
      </w:r>
      <w:r w:rsidR="00E16DCD">
        <w:rPr>
          <w:b/>
        </w:rPr>
        <w:t>September</w:t>
      </w:r>
      <w:r w:rsidR="00F724FC">
        <w:rPr>
          <w:b/>
        </w:rPr>
        <w:t>,</w:t>
      </w:r>
      <w:r w:rsidRPr="00A43372">
        <w:rPr>
          <w:b/>
        </w:rPr>
        <w:t xml:space="preserve"> 2022</w:t>
      </w:r>
    </w:p>
    <w:p w14:paraId="2D00FCCE" w14:textId="77777777" w:rsidR="00A43372" w:rsidRDefault="00A43372" w:rsidP="001F0B19">
      <w:pPr>
        <w:spacing w:after="0"/>
      </w:pPr>
    </w:p>
    <w:p w14:paraId="19EF2CA0" w14:textId="77777777" w:rsidR="00B84096" w:rsidRDefault="00B84096" w:rsidP="006D6383">
      <w:pPr>
        <w:pStyle w:val="BodyText"/>
        <w:spacing w:after="0" w:line="240" w:lineRule="auto"/>
        <w:rPr>
          <w:sz w:val="22"/>
          <w:szCs w:val="22"/>
        </w:rPr>
      </w:pPr>
      <w:r>
        <w:rPr>
          <w:sz w:val="22"/>
          <w:szCs w:val="22"/>
        </w:rPr>
        <w:t xml:space="preserve">The OPERS Board of Trustees met on August 16, 2022. </w:t>
      </w:r>
      <w:r w:rsidR="004D7454">
        <w:rPr>
          <w:sz w:val="22"/>
          <w:szCs w:val="22"/>
        </w:rPr>
        <w:t>Highlights from the meeting include:</w:t>
      </w:r>
    </w:p>
    <w:p w14:paraId="078FBC09" w14:textId="77777777" w:rsidR="00DB38FD" w:rsidRDefault="00DB38FD" w:rsidP="006D6383">
      <w:pPr>
        <w:pStyle w:val="BodyText"/>
        <w:spacing w:after="0" w:line="240" w:lineRule="auto"/>
        <w:rPr>
          <w:sz w:val="22"/>
          <w:szCs w:val="22"/>
        </w:rPr>
      </w:pPr>
    </w:p>
    <w:p w14:paraId="302D6ACE" w14:textId="77777777" w:rsidR="004D7454" w:rsidRDefault="004D7454" w:rsidP="004D7454">
      <w:pPr>
        <w:pStyle w:val="BodyText"/>
        <w:numPr>
          <w:ilvl w:val="0"/>
          <w:numId w:val="5"/>
        </w:numPr>
        <w:spacing w:after="0" w:line="240" w:lineRule="auto"/>
        <w:rPr>
          <w:sz w:val="22"/>
          <w:szCs w:val="22"/>
        </w:rPr>
      </w:pPr>
      <w:r>
        <w:rPr>
          <w:sz w:val="22"/>
          <w:szCs w:val="22"/>
        </w:rPr>
        <w:t xml:space="preserve">The Board </w:t>
      </w:r>
      <w:r w:rsidR="00DB38FD">
        <w:rPr>
          <w:sz w:val="22"/>
          <w:szCs w:val="22"/>
        </w:rPr>
        <w:t xml:space="preserve">voted to </w:t>
      </w:r>
      <w:r>
        <w:rPr>
          <w:sz w:val="22"/>
          <w:szCs w:val="22"/>
        </w:rPr>
        <w:t>c</w:t>
      </w:r>
      <w:r w:rsidR="00DB38FD">
        <w:rPr>
          <w:sz w:val="22"/>
          <w:szCs w:val="22"/>
        </w:rPr>
        <w:t>ertify</w:t>
      </w:r>
      <w:r>
        <w:rPr>
          <w:sz w:val="22"/>
          <w:szCs w:val="22"/>
        </w:rPr>
        <w:t xml:space="preserve"> candidates for the 2022 </w:t>
      </w:r>
      <w:r w:rsidR="00DB38FD">
        <w:rPr>
          <w:sz w:val="22"/>
          <w:szCs w:val="22"/>
        </w:rPr>
        <w:t>OPERS Board e</w:t>
      </w:r>
      <w:r>
        <w:rPr>
          <w:sz w:val="22"/>
          <w:szCs w:val="22"/>
        </w:rPr>
        <w:t xml:space="preserve">lection. Three candidates are unopposed and will begin new board terms in January 2023. They are: Chris Mabe (State), Ken Thomas (Municipal) and Randy Desposito (College/University.) Two candidates running to represent the Retiree seat are Steve Toth and Ron Wilinski. </w:t>
      </w:r>
      <w:r w:rsidR="00DB38FD">
        <w:rPr>
          <w:sz w:val="22"/>
          <w:szCs w:val="22"/>
        </w:rPr>
        <w:t>OPERS has mailed ballots to qualified voters, who can vote for one of these candidates by mail, internet or telephone. The last day for votes to be received is September 30, 2022. Election results will be finalized on October 3, 2022.</w:t>
      </w:r>
    </w:p>
    <w:p w14:paraId="596729E4" w14:textId="77777777" w:rsidR="00E74588" w:rsidRDefault="00AA6113" w:rsidP="004D7454">
      <w:pPr>
        <w:pStyle w:val="BodyText"/>
        <w:numPr>
          <w:ilvl w:val="0"/>
          <w:numId w:val="5"/>
        </w:numPr>
        <w:spacing w:after="0" w:line="240" w:lineRule="auto"/>
        <w:rPr>
          <w:sz w:val="22"/>
          <w:szCs w:val="22"/>
        </w:rPr>
      </w:pPr>
      <w:r>
        <w:rPr>
          <w:sz w:val="22"/>
          <w:szCs w:val="22"/>
        </w:rPr>
        <w:t>Lai Ye Woo, OPERS Senior Financial Analyst</w:t>
      </w:r>
      <w:r w:rsidR="00047D29">
        <w:rPr>
          <w:sz w:val="22"/>
          <w:szCs w:val="22"/>
        </w:rPr>
        <w:t>,</w:t>
      </w:r>
      <w:r>
        <w:rPr>
          <w:sz w:val="22"/>
          <w:szCs w:val="22"/>
        </w:rPr>
        <w:t xml:space="preserve"> presented information about the state division employer and member contribution rates for the period 7/1/23-7/30/25. Per the Ohio Revised Code, the Board certifies these rates by November 1 in each even</w:t>
      </w:r>
      <w:r w:rsidR="00D92AAA">
        <w:rPr>
          <w:sz w:val="22"/>
          <w:szCs w:val="22"/>
        </w:rPr>
        <w:t>-</w:t>
      </w:r>
      <w:r>
        <w:rPr>
          <w:sz w:val="22"/>
          <w:szCs w:val="22"/>
        </w:rPr>
        <w:t xml:space="preserve">numbered year. The rates </w:t>
      </w:r>
      <w:r w:rsidR="00E74588">
        <w:rPr>
          <w:sz w:val="22"/>
          <w:szCs w:val="22"/>
        </w:rPr>
        <w:t xml:space="preserve">shown below </w:t>
      </w:r>
      <w:r w:rsidR="008966D2">
        <w:rPr>
          <w:sz w:val="22"/>
          <w:szCs w:val="22"/>
        </w:rPr>
        <w:t xml:space="preserve">(percentages of payroll) </w:t>
      </w:r>
      <w:r w:rsidR="00E74588">
        <w:rPr>
          <w:sz w:val="22"/>
          <w:szCs w:val="22"/>
        </w:rPr>
        <w:t>were approved as recommended in the annual actuarial valuation report for the year ended December 31, 2021.</w:t>
      </w:r>
      <w:r w:rsidR="008966D2">
        <w:rPr>
          <w:sz w:val="22"/>
          <w:szCs w:val="22"/>
        </w:rPr>
        <w:t xml:space="preserve"> </w:t>
      </w:r>
    </w:p>
    <w:p w14:paraId="65BEED7D" w14:textId="77777777" w:rsidR="00E74588" w:rsidRDefault="00047D29" w:rsidP="00047D29">
      <w:pPr>
        <w:pStyle w:val="BodyText"/>
        <w:tabs>
          <w:tab w:val="left" w:pos="6120"/>
        </w:tabs>
        <w:spacing w:after="0" w:line="240" w:lineRule="auto"/>
        <w:ind w:left="3600" w:firstLine="720"/>
        <w:rPr>
          <w:sz w:val="22"/>
          <w:szCs w:val="22"/>
        </w:rPr>
      </w:pPr>
      <w:r w:rsidRPr="00047D29">
        <w:rPr>
          <w:sz w:val="22"/>
          <w:szCs w:val="22"/>
          <w:u w:val="single"/>
        </w:rPr>
        <w:t>Employer Rates</w:t>
      </w:r>
      <w:r>
        <w:rPr>
          <w:sz w:val="22"/>
          <w:szCs w:val="22"/>
        </w:rPr>
        <w:tab/>
      </w:r>
      <w:r w:rsidR="00E74588" w:rsidRPr="00047D29">
        <w:rPr>
          <w:sz w:val="22"/>
          <w:szCs w:val="22"/>
          <w:u w:val="single"/>
        </w:rPr>
        <w:t>Member Rates</w:t>
      </w:r>
      <w:r>
        <w:rPr>
          <w:sz w:val="22"/>
          <w:szCs w:val="22"/>
        </w:rPr>
        <w:tab/>
      </w:r>
      <w:r w:rsidRPr="00047D29">
        <w:rPr>
          <w:sz w:val="22"/>
          <w:szCs w:val="22"/>
          <w:u w:val="single"/>
        </w:rPr>
        <w:t>Total Rates</w:t>
      </w:r>
    </w:p>
    <w:p w14:paraId="68A9B032" w14:textId="77777777" w:rsidR="00DB38FD" w:rsidRDefault="00E74588" w:rsidP="00047D29">
      <w:pPr>
        <w:pStyle w:val="BodyText"/>
        <w:tabs>
          <w:tab w:val="left" w:pos="4770"/>
          <w:tab w:val="left" w:pos="6390"/>
          <w:tab w:val="left" w:pos="8100"/>
        </w:tabs>
        <w:spacing w:after="0" w:line="240" w:lineRule="auto"/>
        <w:ind w:firstLine="720"/>
        <w:rPr>
          <w:sz w:val="22"/>
          <w:szCs w:val="22"/>
        </w:rPr>
      </w:pPr>
      <w:r>
        <w:rPr>
          <w:sz w:val="22"/>
          <w:szCs w:val="22"/>
        </w:rPr>
        <w:t xml:space="preserve">State (Non Law/Non Public Service) </w:t>
      </w:r>
      <w:r w:rsidR="00AA6113">
        <w:rPr>
          <w:sz w:val="22"/>
          <w:szCs w:val="22"/>
        </w:rPr>
        <w:t xml:space="preserve"> </w:t>
      </w:r>
      <w:r w:rsidR="00047D29">
        <w:rPr>
          <w:sz w:val="22"/>
          <w:szCs w:val="22"/>
        </w:rPr>
        <w:tab/>
        <w:t>14.00%</w:t>
      </w:r>
      <w:r w:rsidR="00047D29">
        <w:rPr>
          <w:sz w:val="22"/>
          <w:szCs w:val="22"/>
        </w:rPr>
        <w:tab/>
        <w:t>10.00%</w:t>
      </w:r>
      <w:r w:rsidR="00047D29">
        <w:rPr>
          <w:sz w:val="22"/>
          <w:szCs w:val="22"/>
        </w:rPr>
        <w:tab/>
        <w:t>24.00%</w:t>
      </w:r>
    </w:p>
    <w:p w14:paraId="50D95B8F" w14:textId="77777777" w:rsidR="00047D29" w:rsidRDefault="00047D29" w:rsidP="00047D29">
      <w:pPr>
        <w:pStyle w:val="BodyText"/>
        <w:tabs>
          <w:tab w:val="left" w:pos="4770"/>
          <w:tab w:val="left" w:pos="6390"/>
          <w:tab w:val="left" w:pos="8100"/>
        </w:tabs>
        <w:spacing w:after="0" w:line="240" w:lineRule="auto"/>
        <w:ind w:firstLine="720"/>
        <w:rPr>
          <w:sz w:val="22"/>
          <w:szCs w:val="22"/>
        </w:rPr>
      </w:pPr>
      <w:r>
        <w:rPr>
          <w:sz w:val="22"/>
          <w:szCs w:val="22"/>
        </w:rPr>
        <w:t>Law Enforcement</w:t>
      </w:r>
      <w:r>
        <w:rPr>
          <w:sz w:val="22"/>
          <w:szCs w:val="22"/>
        </w:rPr>
        <w:tab/>
        <w:t>18.10%</w:t>
      </w:r>
      <w:r>
        <w:rPr>
          <w:sz w:val="22"/>
          <w:szCs w:val="22"/>
        </w:rPr>
        <w:tab/>
        <w:t>13.00%</w:t>
      </w:r>
      <w:r>
        <w:rPr>
          <w:sz w:val="22"/>
          <w:szCs w:val="22"/>
        </w:rPr>
        <w:tab/>
        <w:t>31.10%</w:t>
      </w:r>
    </w:p>
    <w:p w14:paraId="3D9A5E48" w14:textId="77777777" w:rsidR="00047D29" w:rsidRDefault="00047D29" w:rsidP="00047D29">
      <w:pPr>
        <w:pStyle w:val="BodyText"/>
        <w:tabs>
          <w:tab w:val="left" w:pos="4770"/>
          <w:tab w:val="left" w:pos="6390"/>
          <w:tab w:val="left" w:pos="8100"/>
        </w:tabs>
        <w:spacing w:after="0" w:line="240" w:lineRule="auto"/>
        <w:ind w:firstLine="720"/>
        <w:rPr>
          <w:sz w:val="22"/>
          <w:szCs w:val="22"/>
        </w:rPr>
      </w:pPr>
      <w:r>
        <w:rPr>
          <w:sz w:val="22"/>
          <w:szCs w:val="22"/>
        </w:rPr>
        <w:t>Public Safety</w:t>
      </w:r>
      <w:r>
        <w:rPr>
          <w:sz w:val="22"/>
          <w:szCs w:val="22"/>
        </w:rPr>
        <w:tab/>
        <w:t>18.10</w:t>
      </w:r>
      <w:r w:rsidR="008966D2">
        <w:rPr>
          <w:sz w:val="22"/>
          <w:szCs w:val="22"/>
        </w:rPr>
        <w:t>%</w:t>
      </w:r>
      <w:r>
        <w:rPr>
          <w:sz w:val="22"/>
          <w:szCs w:val="22"/>
        </w:rPr>
        <w:tab/>
        <w:t>12.00%</w:t>
      </w:r>
      <w:r>
        <w:rPr>
          <w:sz w:val="22"/>
          <w:szCs w:val="22"/>
        </w:rPr>
        <w:tab/>
        <w:t>30.10%</w:t>
      </w:r>
    </w:p>
    <w:p w14:paraId="661FC81F" w14:textId="77777777" w:rsidR="00D92AAA" w:rsidRDefault="00D92AAA" w:rsidP="00047D29">
      <w:pPr>
        <w:pStyle w:val="BodyText"/>
        <w:tabs>
          <w:tab w:val="left" w:pos="4770"/>
          <w:tab w:val="left" w:pos="6390"/>
          <w:tab w:val="left" w:pos="8100"/>
        </w:tabs>
        <w:spacing w:after="0" w:line="240" w:lineRule="auto"/>
        <w:ind w:firstLine="720"/>
        <w:rPr>
          <w:sz w:val="22"/>
          <w:szCs w:val="22"/>
        </w:rPr>
      </w:pPr>
    </w:p>
    <w:p w14:paraId="6C4D308A" w14:textId="77777777" w:rsidR="00047D29" w:rsidRDefault="00614191" w:rsidP="00047D29">
      <w:pPr>
        <w:pStyle w:val="BodyText"/>
        <w:numPr>
          <w:ilvl w:val="0"/>
          <w:numId w:val="7"/>
        </w:numPr>
        <w:tabs>
          <w:tab w:val="left" w:pos="360"/>
          <w:tab w:val="left" w:pos="4770"/>
          <w:tab w:val="left" w:pos="6390"/>
          <w:tab w:val="left" w:pos="8100"/>
        </w:tabs>
        <w:spacing w:after="0" w:line="240" w:lineRule="auto"/>
        <w:rPr>
          <w:sz w:val="22"/>
          <w:szCs w:val="22"/>
        </w:rPr>
      </w:pPr>
      <w:r>
        <w:rPr>
          <w:sz w:val="22"/>
          <w:szCs w:val="22"/>
        </w:rPr>
        <w:t xml:space="preserve">After a presentation of recommended Board Governance Policy Manual changes by OPERS General Counsel, Eric Harrell, the Board decided not to vote on the changes until the next Board meeting. </w:t>
      </w:r>
    </w:p>
    <w:p w14:paraId="684C11D2" w14:textId="77777777" w:rsidR="00614191" w:rsidRDefault="00614191" w:rsidP="00047D29">
      <w:pPr>
        <w:pStyle w:val="BodyText"/>
        <w:numPr>
          <w:ilvl w:val="0"/>
          <w:numId w:val="7"/>
        </w:numPr>
        <w:tabs>
          <w:tab w:val="left" w:pos="360"/>
          <w:tab w:val="left" w:pos="4770"/>
          <w:tab w:val="left" w:pos="6390"/>
          <w:tab w:val="left" w:pos="8100"/>
        </w:tabs>
        <w:spacing w:after="0" w:line="240" w:lineRule="auto"/>
        <w:rPr>
          <w:sz w:val="22"/>
          <w:szCs w:val="22"/>
        </w:rPr>
      </w:pPr>
      <w:r>
        <w:rPr>
          <w:sz w:val="22"/>
          <w:szCs w:val="22"/>
        </w:rPr>
        <w:t>Every five years, the Board must review the administrative rules</w:t>
      </w:r>
      <w:r w:rsidR="00DA157E">
        <w:rPr>
          <w:sz w:val="22"/>
          <w:szCs w:val="22"/>
        </w:rPr>
        <w:t xml:space="preserve"> regarding the OPERS Board of Trustees. The Board voted to approve no changes to the rules which include: Organization; Election of Board Members; and the Board Travel and Expense Reimbursement Policy.</w:t>
      </w:r>
    </w:p>
    <w:p w14:paraId="49549083" w14:textId="77777777" w:rsidR="00B84096" w:rsidRDefault="00E656C9" w:rsidP="00E656C9">
      <w:pPr>
        <w:pStyle w:val="BodyText"/>
        <w:numPr>
          <w:ilvl w:val="0"/>
          <w:numId w:val="7"/>
        </w:numPr>
        <w:spacing w:after="0" w:line="240" w:lineRule="auto"/>
        <w:rPr>
          <w:sz w:val="22"/>
          <w:szCs w:val="22"/>
        </w:rPr>
      </w:pPr>
      <w:r>
        <w:rPr>
          <w:sz w:val="22"/>
          <w:szCs w:val="22"/>
        </w:rPr>
        <w:t xml:space="preserve">NEPC, the OPERS Board Investment advisor, presented the investment performance review for the second quarter of 2022. </w:t>
      </w:r>
      <w:r w:rsidR="007D7E98">
        <w:rPr>
          <w:sz w:val="22"/>
          <w:szCs w:val="22"/>
        </w:rPr>
        <w:t xml:space="preserve">The Defined Benefit Fund, with a market value of $93.77 billion, </w:t>
      </w:r>
      <w:r w:rsidR="00475098">
        <w:rPr>
          <w:sz w:val="22"/>
          <w:szCs w:val="22"/>
        </w:rPr>
        <w:t>was down 9.0% (net of fees) for the quarter</w:t>
      </w:r>
      <w:r w:rsidR="000874FC">
        <w:rPr>
          <w:sz w:val="22"/>
          <w:szCs w:val="22"/>
        </w:rPr>
        <w:t xml:space="preserve">, and down 7.4% over the past year. </w:t>
      </w:r>
      <w:r w:rsidR="00EA25E3">
        <w:rPr>
          <w:sz w:val="22"/>
          <w:szCs w:val="22"/>
        </w:rPr>
        <w:t>The Health Care 115 Fund</w:t>
      </w:r>
      <w:r w:rsidR="007D7E98">
        <w:rPr>
          <w:sz w:val="22"/>
          <w:szCs w:val="22"/>
        </w:rPr>
        <w:t>, with a market value of $11.9 billion,</w:t>
      </w:r>
      <w:r w:rsidR="00EA25E3">
        <w:rPr>
          <w:sz w:val="22"/>
          <w:szCs w:val="22"/>
        </w:rPr>
        <w:t xml:space="preserve"> was down 12.0% (net of fees) </w:t>
      </w:r>
      <w:r w:rsidR="00591B7D">
        <w:rPr>
          <w:sz w:val="22"/>
          <w:szCs w:val="22"/>
        </w:rPr>
        <w:t xml:space="preserve">for the quarter and </w:t>
      </w:r>
      <w:r w:rsidR="00EA25E3">
        <w:rPr>
          <w:sz w:val="22"/>
          <w:szCs w:val="22"/>
        </w:rPr>
        <w:t>over the past year</w:t>
      </w:r>
      <w:r w:rsidR="00591B7D">
        <w:rPr>
          <w:sz w:val="22"/>
          <w:szCs w:val="22"/>
        </w:rPr>
        <w:t xml:space="preserve">. Defined Contribution Fund assets fell </w:t>
      </w:r>
      <w:r w:rsidR="006D3FE3">
        <w:rPr>
          <w:sz w:val="22"/>
          <w:szCs w:val="22"/>
        </w:rPr>
        <w:t xml:space="preserve">from $2.50 billion at the beginning of the year </w:t>
      </w:r>
      <w:r w:rsidR="00591B7D">
        <w:rPr>
          <w:sz w:val="22"/>
          <w:szCs w:val="22"/>
        </w:rPr>
        <w:t xml:space="preserve">to </w:t>
      </w:r>
      <w:r w:rsidR="007D7E98">
        <w:rPr>
          <w:sz w:val="22"/>
          <w:szCs w:val="22"/>
        </w:rPr>
        <w:t>$</w:t>
      </w:r>
      <w:r w:rsidR="00591B7D">
        <w:rPr>
          <w:sz w:val="22"/>
          <w:szCs w:val="22"/>
        </w:rPr>
        <w:t xml:space="preserve">2.08 </w:t>
      </w:r>
      <w:r w:rsidR="006D3FE3">
        <w:rPr>
          <w:sz w:val="22"/>
          <w:szCs w:val="22"/>
        </w:rPr>
        <w:t>b</w:t>
      </w:r>
      <w:r w:rsidR="00591B7D">
        <w:rPr>
          <w:sz w:val="22"/>
          <w:szCs w:val="22"/>
        </w:rPr>
        <w:t xml:space="preserve">illion </w:t>
      </w:r>
      <w:r w:rsidR="006D3FE3">
        <w:rPr>
          <w:sz w:val="22"/>
          <w:szCs w:val="22"/>
        </w:rPr>
        <w:t>at the end of the second</w:t>
      </w:r>
      <w:r w:rsidR="00591B7D">
        <w:rPr>
          <w:sz w:val="22"/>
          <w:szCs w:val="22"/>
        </w:rPr>
        <w:t xml:space="preserve"> quarter. </w:t>
      </w:r>
    </w:p>
    <w:p w14:paraId="4C38C8A8" w14:textId="77777777" w:rsidR="00B626A9" w:rsidRDefault="00B626A9" w:rsidP="00B626A9">
      <w:pPr>
        <w:pStyle w:val="BodyText"/>
        <w:numPr>
          <w:ilvl w:val="0"/>
          <w:numId w:val="7"/>
        </w:numPr>
        <w:spacing w:after="0" w:line="240" w:lineRule="auto"/>
        <w:rPr>
          <w:sz w:val="22"/>
          <w:szCs w:val="22"/>
        </w:rPr>
      </w:pPr>
      <w:r w:rsidRPr="00B626A9">
        <w:rPr>
          <w:sz w:val="22"/>
          <w:szCs w:val="22"/>
        </w:rPr>
        <w:t xml:space="preserve">NEPC provided the Board with education about private debt investments. </w:t>
      </w:r>
      <w:r>
        <w:rPr>
          <w:sz w:val="22"/>
          <w:szCs w:val="22"/>
        </w:rPr>
        <w:t>“</w:t>
      </w:r>
      <w:r w:rsidRPr="00B626A9">
        <w:rPr>
          <w:sz w:val="22"/>
          <w:szCs w:val="22"/>
        </w:rPr>
        <w:t>Private debt is a source of investment capital provided by institutions and high net worth individuals for the purposes of acquiring interests in companies and/or products</w:t>
      </w:r>
      <w:r>
        <w:rPr>
          <w:sz w:val="22"/>
          <w:szCs w:val="22"/>
        </w:rPr>
        <w:t>.”</w:t>
      </w:r>
      <w:r w:rsidR="00487FCB">
        <w:rPr>
          <w:sz w:val="22"/>
          <w:szCs w:val="22"/>
        </w:rPr>
        <w:t xml:space="preserve"> The Board is considering whether to include private debt in the investment portfolio in future years.</w:t>
      </w:r>
    </w:p>
    <w:p w14:paraId="3976B16B" w14:textId="77777777" w:rsidR="001E6B4F" w:rsidRPr="001E6B4F" w:rsidRDefault="005C2702" w:rsidP="00F0458D">
      <w:pPr>
        <w:pStyle w:val="BodyText"/>
        <w:numPr>
          <w:ilvl w:val="0"/>
          <w:numId w:val="7"/>
        </w:numPr>
        <w:spacing w:after="0" w:line="240" w:lineRule="auto"/>
      </w:pPr>
      <w:r w:rsidRPr="001E6B4F">
        <w:rPr>
          <w:sz w:val="22"/>
          <w:szCs w:val="22"/>
        </w:rPr>
        <w:t xml:space="preserve">Gabriel, Roeder, Smith &amp; Company (GRS), OPERS Actuarial consultant, provided </w:t>
      </w:r>
      <w:r w:rsidR="00A41780" w:rsidRPr="001E6B4F">
        <w:rPr>
          <w:sz w:val="22"/>
          <w:szCs w:val="22"/>
        </w:rPr>
        <w:t xml:space="preserve">Retiree Health Actuarial Valuation and Projection results as of December 31, 2021 to the Board. </w:t>
      </w:r>
      <w:r w:rsidR="001E6B4F" w:rsidRPr="001E6B4F">
        <w:rPr>
          <w:sz w:val="22"/>
          <w:szCs w:val="22"/>
        </w:rPr>
        <w:t xml:space="preserve">Assuming an annual investment return of 4%, the Health Care Fund will be solvent until 2051 unless </w:t>
      </w:r>
      <w:r w:rsidR="001E6B4F">
        <w:rPr>
          <w:sz w:val="22"/>
          <w:szCs w:val="22"/>
        </w:rPr>
        <w:t xml:space="preserve">another source of </w:t>
      </w:r>
      <w:r w:rsidR="001E6B4F" w:rsidRPr="001E6B4F">
        <w:rPr>
          <w:sz w:val="22"/>
          <w:szCs w:val="22"/>
        </w:rPr>
        <w:t xml:space="preserve">funding is </w:t>
      </w:r>
      <w:r w:rsidR="001E6B4F">
        <w:rPr>
          <w:sz w:val="22"/>
          <w:szCs w:val="22"/>
        </w:rPr>
        <w:t xml:space="preserve">found. Based on </w:t>
      </w:r>
      <w:r w:rsidR="009E14BB">
        <w:rPr>
          <w:sz w:val="22"/>
          <w:szCs w:val="22"/>
        </w:rPr>
        <w:t xml:space="preserve">actuarial </w:t>
      </w:r>
      <w:r w:rsidR="001E6B4F">
        <w:rPr>
          <w:sz w:val="22"/>
          <w:szCs w:val="22"/>
        </w:rPr>
        <w:t xml:space="preserve">assumptions, </w:t>
      </w:r>
      <w:r w:rsidR="005155C9">
        <w:rPr>
          <w:sz w:val="22"/>
          <w:szCs w:val="22"/>
        </w:rPr>
        <w:t>“</w:t>
      </w:r>
      <w:r w:rsidR="001E6B4F">
        <w:rPr>
          <w:sz w:val="22"/>
          <w:szCs w:val="22"/>
        </w:rPr>
        <w:t>it will take 2% of payroll to fund the present retiree health plan beyond 2051.</w:t>
      </w:r>
      <w:r w:rsidR="005155C9">
        <w:rPr>
          <w:sz w:val="22"/>
          <w:szCs w:val="22"/>
        </w:rPr>
        <w:t>”</w:t>
      </w:r>
    </w:p>
    <w:p w14:paraId="19812E4A" w14:textId="77777777" w:rsidR="001E6B4F" w:rsidRDefault="00587347" w:rsidP="00F0458D">
      <w:pPr>
        <w:pStyle w:val="BodyText"/>
        <w:numPr>
          <w:ilvl w:val="0"/>
          <w:numId w:val="7"/>
        </w:numPr>
        <w:spacing w:after="0" w:line="240" w:lineRule="auto"/>
      </w:pPr>
      <w:r>
        <w:t>OPERS’</w:t>
      </w:r>
      <w:r w:rsidR="006A7E94">
        <w:t xml:space="preserve"> staff provided a</w:t>
      </w:r>
      <w:r w:rsidR="00640594">
        <w:t xml:space="preserve"> report of accomplishments and an </w:t>
      </w:r>
      <w:r w:rsidR="006A7E94">
        <w:t>update on initiatives from the Board strategic planning sessions</w:t>
      </w:r>
      <w:r w:rsidR="00640594">
        <w:t>.</w:t>
      </w:r>
    </w:p>
    <w:p w14:paraId="0BD98D40" w14:textId="77777777" w:rsidR="00640594" w:rsidRPr="001E6B4F" w:rsidRDefault="00640594" w:rsidP="003710EF">
      <w:pPr>
        <w:pStyle w:val="BodyText"/>
        <w:spacing w:after="0" w:line="240" w:lineRule="auto"/>
        <w:ind w:left="720"/>
      </w:pPr>
    </w:p>
    <w:p w14:paraId="340C84DA" w14:textId="77777777" w:rsidR="001E6B4F" w:rsidRPr="001E6B4F" w:rsidRDefault="001E6B4F" w:rsidP="001E6B4F">
      <w:pPr>
        <w:pStyle w:val="BodyText"/>
        <w:spacing w:after="0" w:line="240" w:lineRule="auto"/>
        <w:ind w:left="720"/>
      </w:pPr>
    </w:p>
    <w:p w14:paraId="5F51664D" w14:textId="77777777" w:rsidR="00705907" w:rsidRPr="009A4D45" w:rsidRDefault="00705907" w:rsidP="001E6B4F">
      <w:pPr>
        <w:pStyle w:val="BodyText"/>
        <w:spacing w:after="0" w:line="240" w:lineRule="auto"/>
        <w:ind w:left="360"/>
      </w:pPr>
      <w:r w:rsidRPr="009A4D45">
        <w:t>Submitted by Darian Torrance</w:t>
      </w:r>
    </w:p>
    <w:sectPr w:rsidR="00705907" w:rsidRPr="009A4D45" w:rsidSect="00130D46">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5F1A"/>
    <w:multiLevelType w:val="hybridMultilevel"/>
    <w:tmpl w:val="51D82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563BD"/>
    <w:multiLevelType w:val="hybridMultilevel"/>
    <w:tmpl w:val="451C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E0F25"/>
    <w:multiLevelType w:val="hybridMultilevel"/>
    <w:tmpl w:val="013A56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BE2DEF"/>
    <w:multiLevelType w:val="hybridMultilevel"/>
    <w:tmpl w:val="CA56C8C8"/>
    <w:lvl w:ilvl="0" w:tplc="37BC8452">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F0516D"/>
    <w:multiLevelType w:val="hybridMultilevel"/>
    <w:tmpl w:val="345C2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650142"/>
    <w:multiLevelType w:val="hybridMultilevel"/>
    <w:tmpl w:val="BA841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B95BEA"/>
    <w:multiLevelType w:val="hybridMultilevel"/>
    <w:tmpl w:val="C7F2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635935">
    <w:abstractNumId w:val="3"/>
  </w:num>
  <w:num w:numId="2" w16cid:durableId="1631665762">
    <w:abstractNumId w:val="4"/>
  </w:num>
  <w:num w:numId="3" w16cid:durableId="747076376">
    <w:abstractNumId w:val="2"/>
  </w:num>
  <w:num w:numId="4" w16cid:durableId="677851039">
    <w:abstractNumId w:val="1"/>
  </w:num>
  <w:num w:numId="5" w16cid:durableId="1613047950">
    <w:abstractNumId w:val="0"/>
  </w:num>
  <w:num w:numId="6" w16cid:durableId="211815181">
    <w:abstractNumId w:val="5"/>
  </w:num>
  <w:num w:numId="7" w16cid:durableId="7608740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3372"/>
    <w:rsid w:val="0000760D"/>
    <w:rsid w:val="00047D29"/>
    <w:rsid w:val="00070365"/>
    <w:rsid w:val="000767E0"/>
    <w:rsid w:val="00086B84"/>
    <w:rsid w:val="000874FC"/>
    <w:rsid w:val="000B4D23"/>
    <w:rsid w:val="000C032F"/>
    <w:rsid w:val="00113F3E"/>
    <w:rsid w:val="00130D46"/>
    <w:rsid w:val="001442C1"/>
    <w:rsid w:val="001A63F1"/>
    <w:rsid w:val="001A7C58"/>
    <w:rsid w:val="001B6D98"/>
    <w:rsid w:val="001E6B4F"/>
    <w:rsid w:val="001E72AC"/>
    <w:rsid w:val="001E7781"/>
    <w:rsid w:val="001F0B19"/>
    <w:rsid w:val="00242DB9"/>
    <w:rsid w:val="002618DD"/>
    <w:rsid w:val="002C6590"/>
    <w:rsid w:val="002D0EF0"/>
    <w:rsid w:val="002D3831"/>
    <w:rsid w:val="00323BB0"/>
    <w:rsid w:val="0034155E"/>
    <w:rsid w:val="00346DEA"/>
    <w:rsid w:val="003710EF"/>
    <w:rsid w:val="003854A7"/>
    <w:rsid w:val="003A2D82"/>
    <w:rsid w:val="004255E7"/>
    <w:rsid w:val="00425E6C"/>
    <w:rsid w:val="00475098"/>
    <w:rsid w:val="00487FCB"/>
    <w:rsid w:val="00491180"/>
    <w:rsid w:val="004D7454"/>
    <w:rsid w:val="004E1D00"/>
    <w:rsid w:val="004E431D"/>
    <w:rsid w:val="005155C9"/>
    <w:rsid w:val="00571C7D"/>
    <w:rsid w:val="0057398E"/>
    <w:rsid w:val="00582C8E"/>
    <w:rsid w:val="00587347"/>
    <w:rsid w:val="00591B7D"/>
    <w:rsid w:val="005A10F5"/>
    <w:rsid w:val="005A2B67"/>
    <w:rsid w:val="005C2702"/>
    <w:rsid w:val="005E1C40"/>
    <w:rsid w:val="00614191"/>
    <w:rsid w:val="00640594"/>
    <w:rsid w:val="0064155D"/>
    <w:rsid w:val="00656941"/>
    <w:rsid w:val="00675A09"/>
    <w:rsid w:val="006767D1"/>
    <w:rsid w:val="006A58A5"/>
    <w:rsid w:val="006A7E94"/>
    <w:rsid w:val="006C6DE4"/>
    <w:rsid w:val="006D3FE3"/>
    <w:rsid w:val="006D6383"/>
    <w:rsid w:val="006D6471"/>
    <w:rsid w:val="00705907"/>
    <w:rsid w:val="007249A8"/>
    <w:rsid w:val="007A4DE7"/>
    <w:rsid w:val="007B1977"/>
    <w:rsid w:val="007D7E98"/>
    <w:rsid w:val="0081570D"/>
    <w:rsid w:val="008269BC"/>
    <w:rsid w:val="00833CF4"/>
    <w:rsid w:val="00856DCA"/>
    <w:rsid w:val="0086774D"/>
    <w:rsid w:val="008966D2"/>
    <w:rsid w:val="008969CD"/>
    <w:rsid w:val="008B76A2"/>
    <w:rsid w:val="00921890"/>
    <w:rsid w:val="00923ABF"/>
    <w:rsid w:val="009271FF"/>
    <w:rsid w:val="009336B2"/>
    <w:rsid w:val="009405DB"/>
    <w:rsid w:val="009428F9"/>
    <w:rsid w:val="009A4D45"/>
    <w:rsid w:val="009A6C8D"/>
    <w:rsid w:val="009B27B0"/>
    <w:rsid w:val="009C3AF8"/>
    <w:rsid w:val="009D36F5"/>
    <w:rsid w:val="009E14BB"/>
    <w:rsid w:val="00A0253E"/>
    <w:rsid w:val="00A2492D"/>
    <w:rsid w:val="00A4041A"/>
    <w:rsid w:val="00A41780"/>
    <w:rsid w:val="00A43372"/>
    <w:rsid w:val="00A43B6A"/>
    <w:rsid w:val="00A52928"/>
    <w:rsid w:val="00A80D37"/>
    <w:rsid w:val="00A91776"/>
    <w:rsid w:val="00AA6113"/>
    <w:rsid w:val="00AB3F0B"/>
    <w:rsid w:val="00AC5378"/>
    <w:rsid w:val="00AF0C47"/>
    <w:rsid w:val="00B064FA"/>
    <w:rsid w:val="00B626A9"/>
    <w:rsid w:val="00B6375D"/>
    <w:rsid w:val="00B655AB"/>
    <w:rsid w:val="00B84096"/>
    <w:rsid w:val="00B86162"/>
    <w:rsid w:val="00B974D7"/>
    <w:rsid w:val="00C5714C"/>
    <w:rsid w:val="00C954FE"/>
    <w:rsid w:val="00C9656E"/>
    <w:rsid w:val="00CE672F"/>
    <w:rsid w:val="00CF02F5"/>
    <w:rsid w:val="00D22F51"/>
    <w:rsid w:val="00D23E69"/>
    <w:rsid w:val="00D33288"/>
    <w:rsid w:val="00D361C5"/>
    <w:rsid w:val="00D558D6"/>
    <w:rsid w:val="00D56BD2"/>
    <w:rsid w:val="00D92AAA"/>
    <w:rsid w:val="00DA157E"/>
    <w:rsid w:val="00DB38FD"/>
    <w:rsid w:val="00DC3F89"/>
    <w:rsid w:val="00DD6250"/>
    <w:rsid w:val="00DF18EF"/>
    <w:rsid w:val="00E16DCD"/>
    <w:rsid w:val="00E36190"/>
    <w:rsid w:val="00E656C9"/>
    <w:rsid w:val="00E74588"/>
    <w:rsid w:val="00EA0EC3"/>
    <w:rsid w:val="00EA25E3"/>
    <w:rsid w:val="00F0458D"/>
    <w:rsid w:val="00F646BD"/>
    <w:rsid w:val="00F71038"/>
    <w:rsid w:val="00F724FC"/>
    <w:rsid w:val="00F775BC"/>
    <w:rsid w:val="00F920C2"/>
    <w:rsid w:val="00FD50D6"/>
    <w:rsid w:val="00FE2ED3"/>
    <w:rsid w:val="00FE46ED"/>
    <w:rsid w:val="00FF2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BD147"/>
  <w15:docId w15:val="{B7BA63A3-13AD-4121-9CCA-503F67611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33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A2D82"/>
    <w:pPr>
      <w:keepNext/>
      <w:spacing w:after="0" w:line="240" w:lineRule="auto"/>
      <w:outlineLvl w:val="1"/>
    </w:pPr>
    <w:rPr>
      <w:rFonts w:ascii="inherit" w:eastAsia="Times New Roman" w:hAnsi="inherit" w:cs="Times New Roman"/>
      <w:b/>
      <w:color w:val="4EC1DB"/>
      <w:sz w:val="18"/>
      <w:szCs w:val="18"/>
      <w:bdr w:val="none" w:sz="0" w:space="0" w:color="auto" w:frame="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3372"/>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unhideWhenUsed/>
    <w:rsid w:val="00A43372"/>
    <w:rPr>
      <w:sz w:val="24"/>
      <w:szCs w:val="24"/>
    </w:rPr>
  </w:style>
  <w:style w:type="character" w:customStyle="1" w:styleId="BodyTextChar">
    <w:name w:val="Body Text Char"/>
    <w:basedOn w:val="DefaultParagraphFont"/>
    <w:link w:val="BodyText"/>
    <w:uiPriority w:val="99"/>
    <w:rsid w:val="00A43372"/>
    <w:rPr>
      <w:sz w:val="24"/>
      <w:szCs w:val="24"/>
    </w:rPr>
  </w:style>
  <w:style w:type="character" w:styleId="Hyperlink">
    <w:name w:val="Hyperlink"/>
    <w:basedOn w:val="DefaultParagraphFont"/>
    <w:uiPriority w:val="99"/>
    <w:unhideWhenUsed/>
    <w:rsid w:val="009271FF"/>
    <w:rPr>
      <w:color w:val="0563C1" w:themeColor="hyperlink"/>
      <w:u w:val="single"/>
    </w:rPr>
  </w:style>
  <w:style w:type="character" w:customStyle="1" w:styleId="Heading2Char">
    <w:name w:val="Heading 2 Char"/>
    <w:basedOn w:val="DefaultParagraphFont"/>
    <w:link w:val="Heading2"/>
    <w:uiPriority w:val="9"/>
    <w:rsid w:val="003A2D82"/>
    <w:rPr>
      <w:rFonts w:ascii="inherit" w:eastAsia="Times New Roman" w:hAnsi="inherit" w:cs="Times New Roman"/>
      <w:b/>
      <w:color w:val="4EC1DB"/>
      <w:sz w:val="18"/>
      <w:szCs w:val="18"/>
      <w:bdr w:val="none" w:sz="0" w:space="0" w:color="auto" w:frame="1"/>
    </w:rPr>
  </w:style>
  <w:style w:type="paragraph" w:styleId="ListParagraph">
    <w:name w:val="List Paragraph"/>
    <w:basedOn w:val="Normal"/>
    <w:uiPriority w:val="34"/>
    <w:qFormat/>
    <w:rsid w:val="003A2D82"/>
    <w:pPr>
      <w:ind w:left="720"/>
      <w:contextualSpacing/>
    </w:pPr>
  </w:style>
  <w:style w:type="character" w:styleId="FollowedHyperlink">
    <w:name w:val="FollowedHyperlink"/>
    <w:basedOn w:val="DefaultParagraphFont"/>
    <w:uiPriority w:val="99"/>
    <w:semiHidden/>
    <w:unhideWhenUsed/>
    <w:rsid w:val="004255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C7B6D-8910-46EB-AFDC-ED4D330DE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Darian</dc:creator>
  <cp:lastModifiedBy>Pamela</cp:lastModifiedBy>
  <cp:revision>2</cp:revision>
  <cp:lastPrinted>2022-07-11T19:22:00Z</cp:lastPrinted>
  <dcterms:created xsi:type="dcterms:W3CDTF">2022-09-12T16:11:00Z</dcterms:created>
  <dcterms:modified xsi:type="dcterms:W3CDTF">2022-09-12T16:11:00Z</dcterms:modified>
</cp:coreProperties>
</file>